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5E04E" w14:textId="77777777" w:rsidR="00572651" w:rsidRPr="00634CAB" w:rsidRDefault="00572651" w:rsidP="00572651">
      <w:pPr>
        <w:tabs>
          <w:tab w:val="num" w:pos="360"/>
        </w:tabs>
        <w:spacing w:after="0" w:line="240" w:lineRule="auto"/>
        <w:rPr>
          <w:rFonts w:ascii="Arial" w:eastAsia="Calibri" w:hAnsi="Arial" w:cs="Times New Roman"/>
          <w:sz w:val="24"/>
          <w:szCs w:val="24"/>
          <w:lang w:val="en-US"/>
        </w:rPr>
      </w:pPr>
    </w:p>
    <w:p w14:paraId="04BAD486" w14:textId="77777777" w:rsidR="00572651" w:rsidRPr="00634CAB" w:rsidRDefault="00572651" w:rsidP="00572651">
      <w:pPr>
        <w:spacing w:after="0" w:line="240" w:lineRule="auto"/>
        <w:jc w:val="both"/>
        <w:rPr>
          <w:rFonts w:ascii="Arial" w:eastAsia="Calibri" w:hAnsi="Arial" w:cs="Arial"/>
          <w:sz w:val="24"/>
          <w:szCs w:val="24"/>
          <w:lang w:val="en-US"/>
        </w:rPr>
      </w:pPr>
    </w:p>
    <w:p w14:paraId="4C794522" w14:textId="57278DA7" w:rsidR="006917F6" w:rsidRPr="00634CAB" w:rsidRDefault="003001E3" w:rsidP="006917F6">
      <w:pPr>
        <w:rPr>
          <w:lang w:val="en-US"/>
        </w:rPr>
      </w:pPr>
      <w:r>
        <w:rPr>
          <w:rFonts w:ascii="Arial" w:eastAsia="Calibri" w:hAnsi="Arial"/>
          <w:b/>
          <w:bCs/>
          <w:sz w:val="24"/>
          <w:szCs w:val="24"/>
          <w:lang w:val="en-US"/>
        </w:rPr>
        <w:t>Technical Specification applies to</w:t>
      </w:r>
      <w:r w:rsidR="006917F6" w:rsidRPr="00634CAB">
        <w:rPr>
          <w:b/>
          <w:bCs/>
          <w:lang w:val="en-US"/>
        </w:rPr>
        <w:t>:</w:t>
      </w:r>
      <w:r w:rsidR="006917F6" w:rsidRPr="00634CAB">
        <w:rPr>
          <w:lang w:val="en-US"/>
        </w:rPr>
        <w:t xml:space="preserve"> Preparation of a comprehensive analytical and market report on the fertilizer market</w:t>
      </w:r>
    </w:p>
    <w:p w14:paraId="635DFA0C" w14:textId="6D94AAA1" w:rsidR="006917F6" w:rsidRPr="00634CAB" w:rsidRDefault="006917F6" w:rsidP="006917F6">
      <w:pPr>
        <w:rPr>
          <w:b/>
          <w:bCs/>
          <w:lang w:val="en-US"/>
        </w:rPr>
      </w:pPr>
      <w:r w:rsidRPr="00634CAB">
        <w:rPr>
          <w:b/>
          <w:bCs/>
          <w:lang w:val="en-US"/>
        </w:rPr>
        <w:t>I. Subject of the Order</w:t>
      </w:r>
      <w:r w:rsidR="003001E3">
        <w:rPr>
          <w:b/>
          <w:bCs/>
          <w:lang w:val="en-US"/>
        </w:rPr>
        <w:t>:</w:t>
      </w:r>
    </w:p>
    <w:p w14:paraId="735B0AA9" w14:textId="77777777" w:rsidR="00C949F0" w:rsidRPr="00634CAB" w:rsidRDefault="006917F6" w:rsidP="006917F6">
      <w:pPr>
        <w:rPr>
          <w:lang w:val="en-US"/>
        </w:rPr>
      </w:pPr>
      <w:r w:rsidRPr="00634CAB">
        <w:rPr>
          <w:lang w:val="en-US"/>
        </w:rPr>
        <w:t xml:space="preserve">The subject of the order is the preparation of a comprehensive analytical and market report on the fertilizer market, including in particular: </w:t>
      </w:r>
    </w:p>
    <w:p w14:paraId="744F8D3E" w14:textId="77777777" w:rsidR="00C949F0" w:rsidRPr="00634CAB" w:rsidRDefault="006917F6" w:rsidP="00C949F0">
      <w:pPr>
        <w:pStyle w:val="Akapitzlist"/>
        <w:numPr>
          <w:ilvl w:val="0"/>
          <w:numId w:val="24"/>
        </w:numPr>
        <w:rPr>
          <w:lang w:val="en-US"/>
        </w:rPr>
      </w:pPr>
      <w:r w:rsidRPr="00634CAB">
        <w:rPr>
          <w:lang w:val="en-US"/>
        </w:rPr>
        <w:t xml:space="preserve">market analysis, </w:t>
      </w:r>
    </w:p>
    <w:p w14:paraId="3CA3FD93" w14:textId="77777777" w:rsidR="00C949F0" w:rsidRPr="00634CAB" w:rsidRDefault="006917F6" w:rsidP="00C949F0">
      <w:pPr>
        <w:pStyle w:val="Akapitzlist"/>
        <w:numPr>
          <w:ilvl w:val="0"/>
          <w:numId w:val="24"/>
        </w:numPr>
        <w:rPr>
          <w:lang w:val="en-US"/>
        </w:rPr>
      </w:pPr>
      <w:r w:rsidRPr="00634CAB">
        <w:rPr>
          <w:lang w:val="en-US"/>
        </w:rPr>
        <w:t xml:space="preserve">sales market analysis, </w:t>
      </w:r>
    </w:p>
    <w:p w14:paraId="028CD43C" w14:textId="7F8AA7D6" w:rsidR="00C949F0" w:rsidRPr="00634CAB" w:rsidRDefault="006917F6" w:rsidP="00C949F0">
      <w:pPr>
        <w:pStyle w:val="Akapitzlist"/>
        <w:numPr>
          <w:ilvl w:val="0"/>
          <w:numId w:val="24"/>
        </w:numPr>
        <w:rPr>
          <w:lang w:val="en-US"/>
        </w:rPr>
      </w:pPr>
      <w:r w:rsidRPr="00634CAB">
        <w:rPr>
          <w:lang w:val="en-US"/>
        </w:rPr>
        <w:t>competition analysis,</w:t>
      </w:r>
    </w:p>
    <w:p w14:paraId="274E9041" w14:textId="37B3A9FB" w:rsidR="006917F6" w:rsidRPr="00634CAB" w:rsidRDefault="006917F6" w:rsidP="00FF32C6">
      <w:pPr>
        <w:pStyle w:val="Akapitzlist"/>
        <w:numPr>
          <w:ilvl w:val="0"/>
          <w:numId w:val="24"/>
        </w:numPr>
        <w:rPr>
          <w:lang w:val="en-US"/>
        </w:rPr>
      </w:pPr>
      <w:r w:rsidRPr="00634CAB">
        <w:rPr>
          <w:lang w:val="en-US"/>
        </w:rPr>
        <w:t>preparing a producers’ database.</w:t>
      </w:r>
    </w:p>
    <w:p w14:paraId="137EB6B6" w14:textId="5BC40E63" w:rsidR="00C949F0" w:rsidRPr="00634CAB" w:rsidRDefault="006917F6" w:rsidP="006917F6">
      <w:pPr>
        <w:rPr>
          <w:lang w:val="en-US"/>
        </w:rPr>
      </w:pPr>
      <w:r w:rsidRPr="00634CAB">
        <w:rPr>
          <w:lang w:val="en-US"/>
        </w:rPr>
        <w:t xml:space="preserve">The report must not be based solely on statistical data or publicly available information but should constitute an in-depth business analysis, </w:t>
      </w:r>
      <w:proofErr w:type="gramStart"/>
      <w:r w:rsidRPr="00634CAB">
        <w:rPr>
          <w:lang w:val="en-US"/>
        </w:rPr>
        <w:t>taking into account</w:t>
      </w:r>
      <w:proofErr w:type="gramEnd"/>
      <w:r w:rsidRPr="00634CAB">
        <w:rPr>
          <w:lang w:val="en-US"/>
        </w:rPr>
        <w:t xml:space="preserve"> expert knowledge, trend interpretation, and strategic conclusions.</w:t>
      </w:r>
    </w:p>
    <w:p w14:paraId="0E4B9EF1" w14:textId="759CEA5C" w:rsidR="00C949F0" w:rsidRPr="00634CAB" w:rsidRDefault="00584776" w:rsidP="006917F6">
      <w:pPr>
        <w:rPr>
          <w:lang w:val="en-US"/>
        </w:rPr>
      </w:pPr>
      <w:r w:rsidRPr="00634CAB">
        <w:rPr>
          <w:lang w:val="en-US"/>
        </w:rPr>
        <w:t>To ensure market flexibility, the right to submit partial offers has been provided – the Contractor may offer to execute individual areas or tasks listed in Section III.</w:t>
      </w:r>
    </w:p>
    <w:p w14:paraId="14865AD3" w14:textId="77777777" w:rsidR="006917F6" w:rsidRPr="00634CAB" w:rsidRDefault="006917F6" w:rsidP="006917F6">
      <w:pPr>
        <w:rPr>
          <w:b/>
          <w:bCs/>
          <w:lang w:val="en-US"/>
        </w:rPr>
      </w:pPr>
      <w:r w:rsidRPr="00634CAB">
        <w:rPr>
          <w:b/>
          <w:bCs/>
          <w:lang w:val="en-US"/>
        </w:rPr>
        <w:t>II. Scope:</w:t>
      </w:r>
    </w:p>
    <w:p w14:paraId="014F02C9" w14:textId="227EEF04" w:rsidR="006917F6" w:rsidRPr="00634CAB" w:rsidRDefault="006917F6" w:rsidP="00A925B8">
      <w:pPr>
        <w:pStyle w:val="Akapitzlist"/>
        <w:numPr>
          <w:ilvl w:val="0"/>
          <w:numId w:val="25"/>
        </w:numPr>
        <w:rPr>
          <w:lang w:val="en-US"/>
        </w:rPr>
      </w:pPr>
      <w:r w:rsidRPr="00634CAB">
        <w:rPr>
          <w:b/>
          <w:bCs/>
          <w:lang w:val="en-US"/>
        </w:rPr>
        <w:t>Markets covered by the analysis:</w:t>
      </w:r>
    </w:p>
    <w:p w14:paraId="4F2A9530" w14:textId="701EA4B4" w:rsidR="006917F6" w:rsidRPr="00634CAB" w:rsidRDefault="006917F6" w:rsidP="006917F6">
      <w:pPr>
        <w:numPr>
          <w:ilvl w:val="0"/>
          <w:numId w:val="14"/>
        </w:numPr>
        <w:spacing w:line="256" w:lineRule="auto"/>
        <w:rPr>
          <w:lang w:val="en-US"/>
        </w:rPr>
      </w:pPr>
      <w:bookmarkStart w:id="0" w:name="_Hlk220236286"/>
      <w:r w:rsidRPr="00634CAB">
        <w:rPr>
          <w:lang w:val="en-US"/>
        </w:rPr>
        <w:t>European Union (with particular emphasis on the Polish market),</w:t>
      </w:r>
    </w:p>
    <w:p w14:paraId="1B6DA0D4" w14:textId="6D67DF91" w:rsidR="00F4631B" w:rsidRPr="00634CAB" w:rsidRDefault="00F4631B" w:rsidP="006917F6">
      <w:pPr>
        <w:numPr>
          <w:ilvl w:val="0"/>
          <w:numId w:val="14"/>
        </w:numPr>
        <w:spacing w:line="256" w:lineRule="auto"/>
        <w:rPr>
          <w:lang w:val="en-US"/>
        </w:rPr>
      </w:pPr>
      <w:bookmarkStart w:id="1" w:name="_Hlk220236329"/>
      <w:bookmarkEnd w:id="0"/>
      <w:r w:rsidRPr="00634CAB">
        <w:rPr>
          <w:lang w:val="en-US"/>
        </w:rPr>
        <w:t>European Economic Area countries outside the EU,</w:t>
      </w:r>
    </w:p>
    <w:bookmarkEnd w:id="1"/>
    <w:p w14:paraId="2FAA324F" w14:textId="01F94251" w:rsidR="006917F6" w:rsidRPr="00634CAB" w:rsidRDefault="006917F6" w:rsidP="006917F6">
      <w:pPr>
        <w:numPr>
          <w:ilvl w:val="0"/>
          <w:numId w:val="14"/>
        </w:numPr>
        <w:spacing w:line="256" w:lineRule="auto"/>
        <w:rPr>
          <w:lang w:val="en-US"/>
        </w:rPr>
      </w:pPr>
      <w:r w:rsidRPr="00634CAB">
        <w:rPr>
          <w:lang w:val="en-US"/>
        </w:rPr>
        <w:t>Turkey,</w:t>
      </w:r>
    </w:p>
    <w:p w14:paraId="2F58C017" w14:textId="32669BDF" w:rsidR="006917F6" w:rsidRPr="00634CAB" w:rsidRDefault="006917F6" w:rsidP="006917F6">
      <w:pPr>
        <w:numPr>
          <w:ilvl w:val="0"/>
          <w:numId w:val="14"/>
        </w:numPr>
        <w:spacing w:line="256" w:lineRule="auto"/>
        <w:rPr>
          <w:lang w:val="en-US"/>
        </w:rPr>
      </w:pPr>
      <w:r w:rsidRPr="00634CAB">
        <w:rPr>
          <w:lang w:val="en-US"/>
        </w:rPr>
        <w:t>United Kingdom (UK),</w:t>
      </w:r>
    </w:p>
    <w:p w14:paraId="038E9F47" w14:textId="743A7027" w:rsidR="00F4631B" w:rsidRPr="00634CAB" w:rsidRDefault="008339CB" w:rsidP="006917F6">
      <w:pPr>
        <w:numPr>
          <w:ilvl w:val="0"/>
          <w:numId w:val="14"/>
        </w:numPr>
        <w:spacing w:line="256" w:lineRule="auto"/>
        <w:rPr>
          <w:lang w:val="en-US"/>
        </w:rPr>
      </w:pPr>
      <w:r w:rsidRPr="00634CAB">
        <w:rPr>
          <w:lang w:val="en-US"/>
        </w:rPr>
        <w:t>Ukraine.</w:t>
      </w:r>
    </w:p>
    <w:p w14:paraId="0C70472F" w14:textId="77777777" w:rsidR="006B50A9" w:rsidRPr="00634CAB" w:rsidRDefault="006917F6" w:rsidP="006917F6">
      <w:pPr>
        <w:rPr>
          <w:lang w:val="en-US"/>
        </w:rPr>
      </w:pPr>
      <w:r w:rsidRPr="00634CAB">
        <w:rPr>
          <w:b/>
          <w:bCs/>
          <w:lang w:val="en-US"/>
        </w:rPr>
        <w:t>2. Product categories:</w:t>
      </w:r>
      <w:r w:rsidRPr="00634CAB">
        <w:rPr>
          <w:lang w:val="en-US"/>
        </w:rPr>
        <w:t xml:space="preserve"> </w:t>
      </w:r>
    </w:p>
    <w:p w14:paraId="7ACDFF74" w14:textId="1DF99FB3" w:rsidR="006917F6" w:rsidRPr="00634CAB" w:rsidRDefault="006917F6" w:rsidP="006917F6">
      <w:pPr>
        <w:rPr>
          <w:lang w:val="en-US"/>
        </w:rPr>
      </w:pPr>
      <w:r w:rsidRPr="00634CAB">
        <w:rPr>
          <w:lang w:val="en-US"/>
        </w:rPr>
        <w:t>The report must consider the division into the following product categories:</w:t>
      </w:r>
    </w:p>
    <w:p w14:paraId="53678B4F" w14:textId="25769820" w:rsidR="004E27FA" w:rsidRPr="00634CAB" w:rsidRDefault="006B50A9" w:rsidP="006917F6">
      <w:pPr>
        <w:numPr>
          <w:ilvl w:val="0"/>
          <w:numId w:val="15"/>
        </w:numPr>
        <w:spacing w:line="256" w:lineRule="auto"/>
        <w:rPr>
          <w:noProof/>
          <w:lang w:val="en-US"/>
        </w:rPr>
      </w:pPr>
      <w:r w:rsidRPr="00634CAB">
        <w:rPr>
          <w:noProof/>
          <w:lang w:val="en-US"/>
        </w:rPr>
        <w:t xml:space="preserve">Mineral-organic fertilizers, with distinction between: </w:t>
      </w:r>
    </w:p>
    <w:p w14:paraId="4BCE01D2" w14:textId="1AA2B112" w:rsidR="006917F6" w:rsidRPr="00634CAB" w:rsidRDefault="008339CB" w:rsidP="004E27FA">
      <w:pPr>
        <w:numPr>
          <w:ilvl w:val="1"/>
          <w:numId w:val="15"/>
        </w:numPr>
        <w:spacing w:line="256" w:lineRule="auto"/>
        <w:rPr>
          <w:noProof/>
          <w:lang w:val="en-US"/>
        </w:rPr>
      </w:pPr>
      <w:r w:rsidRPr="00634CAB">
        <w:rPr>
          <w:noProof/>
          <w:lang w:val="en-US"/>
        </w:rPr>
        <w:t>fertilizers dedicated to regenerative agriculture,</w:t>
      </w:r>
    </w:p>
    <w:p w14:paraId="5277C0FB" w14:textId="45C6EAC8" w:rsidR="004E27FA" w:rsidRPr="00634CAB" w:rsidRDefault="006B50A9" w:rsidP="004E27FA">
      <w:pPr>
        <w:numPr>
          <w:ilvl w:val="1"/>
          <w:numId w:val="15"/>
        </w:numPr>
        <w:spacing w:line="256" w:lineRule="auto"/>
        <w:rPr>
          <w:noProof/>
          <w:lang w:val="en-US"/>
        </w:rPr>
      </w:pPr>
      <w:r w:rsidRPr="00634CAB">
        <w:rPr>
          <w:noProof/>
          <w:lang w:val="en-US"/>
        </w:rPr>
        <w:t>fertilizers containing algae,</w:t>
      </w:r>
    </w:p>
    <w:p w14:paraId="165FA4F0" w14:textId="1CB842A7" w:rsidR="00F45F92" w:rsidRPr="00634CAB" w:rsidRDefault="006B50A9" w:rsidP="004E27FA">
      <w:pPr>
        <w:numPr>
          <w:ilvl w:val="1"/>
          <w:numId w:val="15"/>
        </w:numPr>
        <w:spacing w:line="256" w:lineRule="auto"/>
        <w:rPr>
          <w:noProof/>
          <w:lang w:val="en-US"/>
        </w:rPr>
      </w:pPr>
      <w:r w:rsidRPr="00634CAB">
        <w:rPr>
          <w:noProof/>
          <w:lang w:val="en-US"/>
        </w:rPr>
        <w:t>fertilizers containing humic substances.</w:t>
      </w:r>
    </w:p>
    <w:p w14:paraId="7CDDABA9" w14:textId="51B6BC7F" w:rsidR="00F45F92" w:rsidRPr="00634CAB" w:rsidRDefault="006B50A9" w:rsidP="00F45F92">
      <w:pPr>
        <w:numPr>
          <w:ilvl w:val="0"/>
          <w:numId w:val="15"/>
        </w:numPr>
        <w:spacing w:line="256" w:lineRule="auto"/>
        <w:rPr>
          <w:noProof/>
          <w:lang w:val="en-US"/>
        </w:rPr>
      </w:pPr>
      <w:r w:rsidRPr="00634CAB">
        <w:rPr>
          <w:noProof/>
          <w:lang w:val="en-US"/>
        </w:rPr>
        <w:t xml:space="preserve">Organic fertilizers, with distinction between: </w:t>
      </w:r>
    </w:p>
    <w:p w14:paraId="5F0F7E6F" w14:textId="77777777" w:rsidR="00F45F92" w:rsidRPr="00634CAB" w:rsidRDefault="00F45F92" w:rsidP="00F45F92">
      <w:pPr>
        <w:numPr>
          <w:ilvl w:val="1"/>
          <w:numId w:val="15"/>
        </w:numPr>
        <w:spacing w:line="256" w:lineRule="auto"/>
        <w:rPr>
          <w:noProof/>
          <w:lang w:val="en-US"/>
        </w:rPr>
      </w:pPr>
      <w:r w:rsidRPr="00634CAB">
        <w:rPr>
          <w:noProof/>
          <w:lang w:val="en-US"/>
        </w:rPr>
        <w:t>fertilizers dedicated to regenerative agriculture,</w:t>
      </w:r>
    </w:p>
    <w:p w14:paraId="51FC2B13" w14:textId="67A0AF39" w:rsidR="00F45F92" w:rsidRPr="00634CAB" w:rsidRDefault="006B50A9" w:rsidP="00F45F92">
      <w:pPr>
        <w:numPr>
          <w:ilvl w:val="1"/>
          <w:numId w:val="15"/>
        </w:numPr>
        <w:spacing w:line="256" w:lineRule="auto"/>
        <w:rPr>
          <w:noProof/>
          <w:lang w:val="en-US"/>
        </w:rPr>
      </w:pPr>
      <w:r w:rsidRPr="00634CAB">
        <w:rPr>
          <w:noProof/>
          <w:lang w:val="en-US"/>
        </w:rPr>
        <w:t>fertilizers containing algae,</w:t>
      </w:r>
    </w:p>
    <w:p w14:paraId="6D2FB699" w14:textId="530FA392" w:rsidR="00F45F92" w:rsidRPr="00634CAB" w:rsidRDefault="006B50A9" w:rsidP="00F45F92">
      <w:pPr>
        <w:numPr>
          <w:ilvl w:val="1"/>
          <w:numId w:val="15"/>
        </w:numPr>
        <w:spacing w:line="256" w:lineRule="auto"/>
        <w:rPr>
          <w:noProof/>
          <w:lang w:val="en-US"/>
        </w:rPr>
      </w:pPr>
      <w:r w:rsidRPr="00634CAB">
        <w:rPr>
          <w:noProof/>
          <w:lang w:val="en-US"/>
        </w:rPr>
        <w:t>fertilizers containing humic substances.</w:t>
      </w:r>
    </w:p>
    <w:p w14:paraId="6A43461B" w14:textId="6A6A28CE" w:rsidR="006917F6" w:rsidRPr="00634CAB" w:rsidRDefault="006917F6" w:rsidP="006917F6">
      <w:pPr>
        <w:numPr>
          <w:ilvl w:val="0"/>
          <w:numId w:val="15"/>
        </w:numPr>
        <w:spacing w:line="256" w:lineRule="auto"/>
        <w:rPr>
          <w:noProof/>
          <w:lang w:val="en-US"/>
        </w:rPr>
      </w:pPr>
      <w:r w:rsidRPr="00634CAB">
        <w:rPr>
          <w:noProof/>
          <w:lang w:val="en-US"/>
        </w:rPr>
        <w:t>Biostimulants.</w:t>
      </w:r>
    </w:p>
    <w:p w14:paraId="57B28F9B" w14:textId="77777777" w:rsidR="00862BFA" w:rsidRDefault="00862BFA" w:rsidP="006917F6">
      <w:pPr>
        <w:rPr>
          <w:b/>
          <w:bCs/>
          <w:lang w:val="en-US"/>
        </w:rPr>
      </w:pPr>
    </w:p>
    <w:p w14:paraId="060D3EE0" w14:textId="46C39186" w:rsidR="006917F6" w:rsidRPr="00634CAB" w:rsidRDefault="006917F6" w:rsidP="006917F6">
      <w:pPr>
        <w:rPr>
          <w:b/>
          <w:bCs/>
          <w:lang w:val="en-US"/>
        </w:rPr>
      </w:pPr>
      <w:r w:rsidRPr="00634CAB">
        <w:rPr>
          <w:b/>
          <w:bCs/>
          <w:lang w:val="en-US"/>
        </w:rPr>
        <w:lastRenderedPageBreak/>
        <w:t>III. Detailed Scope of Work:</w:t>
      </w:r>
    </w:p>
    <w:p w14:paraId="4531C694" w14:textId="1B65A71E" w:rsidR="006917F6" w:rsidRPr="00634CAB" w:rsidRDefault="006917F6" w:rsidP="006917F6">
      <w:pPr>
        <w:rPr>
          <w:lang w:val="en-US"/>
        </w:rPr>
      </w:pPr>
      <w:r w:rsidRPr="00634CAB">
        <w:rPr>
          <w:lang w:val="en-US"/>
        </w:rPr>
        <w:t xml:space="preserve">For each of the above-mentioned product categories, the Contractor is required to carry out the following elements: </w:t>
      </w:r>
    </w:p>
    <w:p w14:paraId="219C063E" w14:textId="77777777" w:rsidR="006917F6" w:rsidRPr="00634CAB" w:rsidRDefault="006917F6" w:rsidP="006917F6">
      <w:pPr>
        <w:rPr>
          <w:lang w:val="en-US"/>
        </w:rPr>
      </w:pPr>
      <w:r w:rsidRPr="00634CAB">
        <w:rPr>
          <w:b/>
          <w:bCs/>
          <w:lang w:val="en-US"/>
        </w:rPr>
        <w:t>1. Market Analysis:</w:t>
      </w:r>
    </w:p>
    <w:p w14:paraId="79A83044" w14:textId="1B928BD8" w:rsidR="006917F6" w:rsidRPr="00634CAB" w:rsidRDefault="006917F6" w:rsidP="006917F6">
      <w:pPr>
        <w:numPr>
          <w:ilvl w:val="0"/>
          <w:numId w:val="16"/>
        </w:numPr>
        <w:spacing w:line="256" w:lineRule="auto"/>
        <w:rPr>
          <w:lang w:val="en-US"/>
        </w:rPr>
      </w:pPr>
      <w:r w:rsidRPr="00634CAB">
        <w:rPr>
          <w:lang w:val="en-US"/>
        </w:rPr>
        <w:t>Determining market size in value and volume terms relative to the overall fertilizer market segment.</w:t>
      </w:r>
    </w:p>
    <w:p w14:paraId="6508ACB7" w14:textId="5F80D6CA" w:rsidR="006917F6" w:rsidRPr="00634CAB" w:rsidRDefault="006917F6" w:rsidP="006917F6">
      <w:pPr>
        <w:pStyle w:val="Akapitzlist"/>
        <w:numPr>
          <w:ilvl w:val="0"/>
          <w:numId w:val="16"/>
        </w:numPr>
        <w:spacing w:line="256" w:lineRule="auto"/>
        <w:rPr>
          <w:lang w:val="en-US"/>
        </w:rPr>
      </w:pPr>
      <w:r w:rsidRPr="00634CAB">
        <w:rPr>
          <w:lang w:val="en-US"/>
        </w:rPr>
        <w:t xml:space="preserve">Segmenting the market and analyzing size and value (production and domestic/export sales volumes) for the specified regions </w:t>
      </w:r>
      <w:bookmarkStart w:id="2" w:name="_Hlk220236392"/>
      <w:r w:rsidRPr="00634CAB">
        <w:rPr>
          <w:lang w:val="en-US"/>
        </w:rPr>
        <w:t xml:space="preserve">(European Union with particular emphasis on the Polish market; European Economic Area countries outside the EU; Turkey; UK; Ukraine). - </w:t>
      </w:r>
      <w:bookmarkEnd w:id="2"/>
      <w:r w:rsidRPr="00634CAB">
        <w:rPr>
          <w:lang w:val="en-US"/>
        </w:rPr>
        <w:t>Analyzing fertilizer price levels (average prices per country as of December 2025).</w:t>
      </w:r>
    </w:p>
    <w:p w14:paraId="18D6D308" w14:textId="274D8576" w:rsidR="006917F6" w:rsidRPr="00634CAB" w:rsidRDefault="006917F6" w:rsidP="006917F6">
      <w:pPr>
        <w:numPr>
          <w:ilvl w:val="0"/>
          <w:numId w:val="16"/>
        </w:numPr>
        <w:spacing w:line="256" w:lineRule="auto"/>
        <w:rPr>
          <w:lang w:val="en-US"/>
        </w:rPr>
      </w:pPr>
      <w:r w:rsidRPr="00634CAB">
        <w:rPr>
          <w:lang w:val="en-US"/>
        </w:rPr>
        <w:t>Presenting market growth rates (historical data: 3–5 years back).</w:t>
      </w:r>
    </w:p>
    <w:p w14:paraId="046A98A0" w14:textId="72730DBB" w:rsidR="006917F6" w:rsidRPr="00634CAB" w:rsidRDefault="006917F6" w:rsidP="006917F6">
      <w:pPr>
        <w:numPr>
          <w:ilvl w:val="0"/>
          <w:numId w:val="16"/>
        </w:numPr>
        <w:spacing w:line="256" w:lineRule="auto"/>
        <w:rPr>
          <w:lang w:val="en-US"/>
        </w:rPr>
      </w:pPr>
      <w:r w:rsidRPr="00634CAB">
        <w:rPr>
          <w:lang w:val="en-US"/>
        </w:rPr>
        <w:t>Developing forecasts for market growth over the next 3–5 years and beyond 2035.</w:t>
      </w:r>
    </w:p>
    <w:p w14:paraId="086DE6E1" w14:textId="3E86E88C" w:rsidR="006917F6" w:rsidRPr="00634CAB" w:rsidRDefault="006917F6" w:rsidP="006917F6">
      <w:pPr>
        <w:numPr>
          <w:ilvl w:val="0"/>
          <w:numId w:val="16"/>
        </w:numPr>
        <w:spacing w:line="256" w:lineRule="auto"/>
        <w:rPr>
          <w:lang w:val="en-US"/>
        </w:rPr>
      </w:pPr>
      <w:r w:rsidRPr="00634CAB">
        <w:rPr>
          <w:lang w:val="en-US"/>
        </w:rPr>
        <w:t>Identifying key national, European, and global market trends.</w:t>
      </w:r>
    </w:p>
    <w:p w14:paraId="7B3EF46A" w14:textId="5C63B745" w:rsidR="006917F6" w:rsidRPr="00634CAB" w:rsidRDefault="006917F6" w:rsidP="006917F6">
      <w:pPr>
        <w:numPr>
          <w:ilvl w:val="0"/>
          <w:numId w:val="16"/>
        </w:numPr>
        <w:spacing w:line="256" w:lineRule="auto"/>
        <w:rPr>
          <w:lang w:val="en-US"/>
        </w:rPr>
      </w:pPr>
      <w:r w:rsidRPr="00634CAB">
        <w:rPr>
          <w:lang w:val="en-US"/>
        </w:rPr>
        <w:t>Creating a list of key producers.</w:t>
      </w:r>
    </w:p>
    <w:p w14:paraId="424F3108" w14:textId="0733AB28" w:rsidR="002F22C1" w:rsidRPr="00634CAB" w:rsidRDefault="002F22C1" w:rsidP="006917F6">
      <w:pPr>
        <w:numPr>
          <w:ilvl w:val="0"/>
          <w:numId w:val="16"/>
        </w:numPr>
        <w:spacing w:line="256" w:lineRule="auto"/>
        <w:rPr>
          <w:lang w:val="en-US"/>
        </w:rPr>
      </w:pPr>
      <w:r w:rsidRPr="00634CAB">
        <w:rPr>
          <w:lang w:val="en-US"/>
        </w:rPr>
        <w:t>Characterizing distribution channels used by key producers.</w:t>
      </w:r>
    </w:p>
    <w:p w14:paraId="594C53A0" w14:textId="636C47C3" w:rsidR="007F34F0" w:rsidRPr="00634CAB" w:rsidRDefault="00600784" w:rsidP="006917F6">
      <w:pPr>
        <w:pStyle w:val="Akapitzlist"/>
        <w:numPr>
          <w:ilvl w:val="0"/>
          <w:numId w:val="16"/>
        </w:numPr>
        <w:spacing w:line="256" w:lineRule="auto"/>
        <w:rPr>
          <w:lang w:val="en-US"/>
        </w:rPr>
      </w:pPr>
      <w:r w:rsidRPr="00634CAB">
        <w:rPr>
          <w:lang w:val="en-US"/>
        </w:rPr>
        <w:t xml:space="preserve">Forecasting the analyzed fertilizer market value up to and beyond 2035, including the segment’s share of the overall fertilizer market (basis for assessment).  </w:t>
      </w:r>
    </w:p>
    <w:p w14:paraId="5553907C" w14:textId="05655EE6" w:rsidR="007F34F0" w:rsidRPr="00634CAB" w:rsidRDefault="00600784" w:rsidP="006917F6">
      <w:pPr>
        <w:numPr>
          <w:ilvl w:val="0"/>
          <w:numId w:val="16"/>
        </w:numPr>
        <w:spacing w:line="256" w:lineRule="auto"/>
        <w:rPr>
          <w:lang w:val="en-US"/>
        </w:rPr>
      </w:pPr>
      <w:r w:rsidRPr="00634CAB">
        <w:rPr>
          <w:lang w:val="en-US"/>
        </w:rPr>
        <w:t>Analyzing potential import directions.</w:t>
      </w:r>
    </w:p>
    <w:p w14:paraId="4CFFFB6A" w14:textId="2DFA4F53" w:rsidR="007F34F0" w:rsidRPr="00634CAB" w:rsidRDefault="00600784" w:rsidP="006917F6">
      <w:pPr>
        <w:pStyle w:val="Akapitzlist"/>
        <w:numPr>
          <w:ilvl w:val="0"/>
          <w:numId w:val="16"/>
        </w:numPr>
        <w:spacing w:line="256" w:lineRule="auto"/>
        <w:rPr>
          <w:lang w:val="en-US"/>
        </w:rPr>
      </w:pPr>
      <w:r w:rsidRPr="00634CAB">
        <w:rPr>
          <w:lang w:val="en-US"/>
        </w:rPr>
        <w:t>Analyzing potential export directions.</w:t>
      </w:r>
    </w:p>
    <w:p w14:paraId="39338CEE" w14:textId="719759BD" w:rsidR="006917F6" w:rsidRPr="00634CAB" w:rsidRDefault="006917F6" w:rsidP="006917F6">
      <w:pPr>
        <w:rPr>
          <w:lang w:val="en-US"/>
        </w:rPr>
      </w:pPr>
      <w:r w:rsidRPr="00634CAB">
        <w:rPr>
          <w:b/>
          <w:bCs/>
          <w:lang w:val="en-US"/>
        </w:rPr>
        <w:t xml:space="preserve">2. Sales Market Analysis (production and domestic/export sales volumes) for the specified regions (European Union with particular emphasis on the Polish market; European Economic Area countries outside the EU; Turkey; UK; Ukraine </w:t>
      </w:r>
      <w:r w:rsidRPr="00862BFA">
        <w:rPr>
          <w:b/>
          <w:bCs/>
          <w:lang w:val="en-US"/>
        </w:rPr>
        <w:t>+</w:t>
      </w:r>
      <w:r w:rsidRPr="005265A5">
        <w:rPr>
          <w:b/>
          <w:bCs/>
          <w:lang w:val="en-US"/>
        </w:rPr>
        <w:t xml:space="preserve"> </w:t>
      </w:r>
      <w:r w:rsidRPr="00862BFA">
        <w:rPr>
          <w:b/>
          <w:bCs/>
          <w:lang w:val="en-US"/>
        </w:rPr>
        <w:t>prospective</w:t>
      </w:r>
      <w:r w:rsidRPr="00634CAB">
        <w:rPr>
          <w:b/>
          <w:bCs/>
          <w:lang w:val="en-US"/>
        </w:rPr>
        <w:t xml:space="preserve"> markets):</w:t>
      </w:r>
    </w:p>
    <w:p w14:paraId="09B25B35" w14:textId="1AB682D8" w:rsidR="006917F6" w:rsidRPr="00634CAB" w:rsidRDefault="006917F6" w:rsidP="006917F6">
      <w:pPr>
        <w:numPr>
          <w:ilvl w:val="0"/>
          <w:numId w:val="17"/>
        </w:numPr>
        <w:spacing w:line="256" w:lineRule="auto"/>
        <w:rPr>
          <w:lang w:val="en-US"/>
        </w:rPr>
      </w:pPr>
      <w:r w:rsidRPr="00634CAB">
        <w:rPr>
          <w:lang w:val="en-US"/>
        </w:rPr>
        <w:t>Structure and characteristics of production in agricultural holdings.</w:t>
      </w:r>
    </w:p>
    <w:p w14:paraId="4BF98042" w14:textId="135E3DCD" w:rsidR="00E9269C" w:rsidRPr="00634CAB" w:rsidRDefault="00E9269C" w:rsidP="006917F6">
      <w:pPr>
        <w:numPr>
          <w:ilvl w:val="0"/>
          <w:numId w:val="17"/>
        </w:numPr>
        <w:spacing w:line="256" w:lineRule="auto"/>
        <w:rPr>
          <w:lang w:val="en-US"/>
        </w:rPr>
      </w:pPr>
      <w:r w:rsidRPr="00634CAB">
        <w:rPr>
          <w:lang w:val="en-US"/>
        </w:rPr>
        <w:t>Role/% share of fertilizers in the analyzed segment within farm fertilization plans/overall fertilization – possibility/period of application.</w:t>
      </w:r>
    </w:p>
    <w:p w14:paraId="5C783ED3" w14:textId="0C292026" w:rsidR="00BD298F" w:rsidRPr="00634CAB" w:rsidRDefault="00BD298F" w:rsidP="006917F6">
      <w:pPr>
        <w:numPr>
          <w:ilvl w:val="0"/>
          <w:numId w:val="17"/>
        </w:numPr>
        <w:spacing w:line="256" w:lineRule="auto"/>
        <w:rPr>
          <w:lang w:val="en-US"/>
        </w:rPr>
      </w:pPr>
      <w:r w:rsidRPr="00634CAB">
        <w:rPr>
          <w:lang w:val="en-US"/>
        </w:rPr>
        <w:t>Economics of fertilization with the analyzed segment of fertilizers.</w:t>
      </w:r>
    </w:p>
    <w:p w14:paraId="0D71D70C" w14:textId="0518EF54" w:rsidR="00E9269C" w:rsidRPr="00634CAB" w:rsidRDefault="00960F37" w:rsidP="006917F6">
      <w:pPr>
        <w:numPr>
          <w:ilvl w:val="0"/>
          <w:numId w:val="17"/>
        </w:numPr>
        <w:spacing w:line="256" w:lineRule="auto"/>
        <w:rPr>
          <w:lang w:val="en-US"/>
        </w:rPr>
      </w:pPr>
      <w:r w:rsidRPr="00634CAB">
        <w:rPr>
          <w:lang w:val="en-US"/>
        </w:rPr>
        <w:t>Analyzed segment fertilizers vs. mass nitrogen fertilizers – projected consumption in large/medium/small farms up to 2035 and beyond 2035.</w:t>
      </w:r>
    </w:p>
    <w:p w14:paraId="7D16F750" w14:textId="77777777" w:rsidR="006917F6" w:rsidRPr="00634CAB" w:rsidRDefault="006917F6" w:rsidP="006917F6">
      <w:pPr>
        <w:rPr>
          <w:lang w:val="en-US"/>
        </w:rPr>
      </w:pPr>
      <w:r w:rsidRPr="00634CAB">
        <w:rPr>
          <w:b/>
          <w:bCs/>
          <w:lang w:val="en-US"/>
        </w:rPr>
        <w:t>3. Competition Analysis:</w:t>
      </w:r>
    </w:p>
    <w:p w14:paraId="751AB377" w14:textId="7F7273C3" w:rsidR="006917F6" w:rsidRPr="00634CAB" w:rsidRDefault="006917F6" w:rsidP="006917F6">
      <w:pPr>
        <w:numPr>
          <w:ilvl w:val="0"/>
          <w:numId w:val="18"/>
        </w:numPr>
        <w:spacing w:line="256" w:lineRule="auto"/>
        <w:rPr>
          <w:lang w:val="en-US"/>
        </w:rPr>
      </w:pPr>
      <w:r w:rsidRPr="00634CAB">
        <w:rPr>
          <w:lang w:val="en-US"/>
        </w:rPr>
        <w:t>Listing 10–15 key producers.</w:t>
      </w:r>
    </w:p>
    <w:p w14:paraId="1C63E2BB" w14:textId="537D0C99" w:rsidR="006917F6" w:rsidRPr="00634CAB" w:rsidRDefault="006917F6" w:rsidP="006917F6">
      <w:pPr>
        <w:numPr>
          <w:ilvl w:val="0"/>
          <w:numId w:val="18"/>
        </w:numPr>
        <w:spacing w:line="256" w:lineRule="auto"/>
        <w:rPr>
          <w:lang w:val="en-US"/>
        </w:rPr>
      </w:pPr>
      <w:r w:rsidRPr="00634CAB">
        <w:rPr>
          <w:lang w:val="en-US"/>
        </w:rPr>
        <w:t>Determining their market shares.</w:t>
      </w:r>
    </w:p>
    <w:p w14:paraId="3EFDD535" w14:textId="6A29C403" w:rsidR="006917F6" w:rsidRPr="00634CAB" w:rsidRDefault="006917F6" w:rsidP="006917F6">
      <w:pPr>
        <w:numPr>
          <w:ilvl w:val="0"/>
          <w:numId w:val="18"/>
        </w:numPr>
        <w:spacing w:line="256" w:lineRule="auto"/>
        <w:rPr>
          <w:lang w:val="en-US"/>
        </w:rPr>
      </w:pPr>
      <w:r w:rsidRPr="00634CAB">
        <w:rPr>
          <w:lang w:val="en-US"/>
        </w:rPr>
        <w:t>Benchmarking product innovations introduced by competitors.</w:t>
      </w:r>
    </w:p>
    <w:p w14:paraId="2AE931B7" w14:textId="227CAE9A" w:rsidR="006917F6" w:rsidRPr="00634CAB" w:rsidRDefault="006917F6" w:rsidP="006917F6">
      <w:pPr>
        <w:numPr>
          <w:ilvl w:val="0"/>
          <w:numId w:val="18"/>
        </w:numPr>
        <w:spacing w:line="256" w:lineRule="auto"/>
        <w:rPr>
          <w:lang w:val="en-US"/>
        </w:rPr>
      </w:pPr>
      <w:r w:rsidRPr="00634CAB">
        <w:rPr>
          <w:lang w:val="en-US"/>
        </w:rPr>
        <w:t>Conducting SWOT analysis for the industry and leading market players.</w:t>
      </w:r>
    </w:p>
    <w:p w14:paraId="383221B3" w14:textId="77777777" w:rsidR="00A024D5" w:rsidRPr="00634CAB" w:rsidRDefault="00A024D5" w:rsidP="00B72F57">
      <w:pPr>
        <w:spacing w:line="256" w:lineRule="auto"/>
        <w:rPr>
          <w:lang w:val="en-US"/>
        </w:rPr>
      </w:pPr>
    </w:p>
    <w:p w14:paraId="7E031C8B" w14:textId="77777777" w:rsidR="00634CAB" w:rsidRDefault="00634CAB" w:rsidP="00B72F57">
      <w:pPr>
        <w:spacing w:line="256" w:lineRule="auto"/>
        <w:rPr>
          <w:lang w:val="en-US"/>
        </w:rPr>
      </w:pPr>
    </w:p>
    <w:p w14:paraId="55F8A7AD" w14:textId="77777777" w:rsidR="00862BFA" w:rsidRDefault="00862BFA" w:rsidP="00B72F57">
      <w:pPr>
        <w:spacing w:line="256" w:lineRule="auto"/>
        <w:rPr>
          <w:lang w:val="en-US"/>
        </w:rPr>
      </w:pPr>
    </w:p>
    <w:p w14:paraId="223CB46D" w14:textId="4A91C9D4" w:rsidR="00B72F57" w:rsidRPr="00634CAB" w:rsidRDefault="00B72F57" w:rsidP="00B72F57">
      <w:pPr>
        <w:spacing w:line="256" w:lineRule="auto"/>
        <w:rPr>
          <w:lang w:val="en-US"/>
        </w:rPr>
      </w:pPr>
      <w:r w:rsidRPr="00634CAB">
        <w:rPr>
          <w:lang w:val="en-US"/>
        </w:rPr>
        <w:t>Additionally:</w:t>
      </w:r>
    </w:p>
    <w:p w14:paraId="5F73600C" w14:textId="0836ABCE" w:rsidR="00B72F57" w:rsidRPr="00634CAB" w:rsidRDefault="00B72F57" w:rsidP="00B72F57">
      <w:pPr>
        <w:spacing w:line="256" w:lineRule="auto"/>
        <w:rPr>
          <w:lang w:val="en-US"/>
        </w:rPr>
      </w:pPr>
      <w:r w:rsidRPr="00634CAB">
        <w:rPr>
          <w:lang w:val="en-US"/>
        </w:rPr>
        <w:t xml:space="preserve">- Analyzing whether the anticipated demand for the analyzed fertilizer segment by target recipients will result from economic, agronomic, or regulatory factors, broken down by small, medium, and large farms. </w:t>
      </w:r>
    </w:p>
    <w:p w14:paraId="0FCE42E2" w14:textId="0279C621" w:rsidR="00B72F57" w:rsidRPr="00634CAB" w:rsidRDefault="00B72F57" w:rsidP="00B72F57">
      <w:pPr>
        <w:spacing w:line="256" w:lineRule="auto"/>
        <w:rPr>
          <w:lang w:val="en-US"/>
        </w:rPr>
      </w:pPr>
      <w:r w:rsidRPr="00634CAB">
        <w:rPr>
          <w:lang w:val="en-US"/>
        </w:rPr>
        <w:t xml:space="preserve">- Analyzing whether the analyzed fertilizer segment aligns with Agriculture 2035+ (fertilization efficiency, market competition – resilience to competition outside the EU, Mercosur, etc.). </w:t>
      </w:r>
    </w:p>
    <w:p w14:paraId="44DA02C5" w14:textId="2140B58D" w:rsidR="00B72F57" w:rsidRPr="00634CAB" w:rsidRDefault="00B72F57" w:rsidP="00B72F57">
      <w:pPr>
        <w:spacing w:line="256" w:lineRule="auto"/>
        <w:rPr>
          <w:lang w:val="en-US"/>
        </w:rPr>
      </w:pPr>
      <w:r w:rsidRPr="00634CAB">
        <w:rPr>
          <w:lang w:val="en-US"/>
        </w:rPr>
        <w:t>- Analyzing whether the analyzed fertilizer segment represents a genuine response to current regulatory requirements as well as those expected and realistically implementable in the future.</w:t>
      </w:r>
    </w:p>
    <w:p w14:paraId="58FEE984" w14:textId="361E971A" w:rsidR="006917F6" w:rsidRPr="00634CAB" w:rsidRDefault="006917F6" w:rsidP="002919CB">
      <w:pPr>
        <w:spacing w:line="256" w:lineRule="auto"/>
        <w:ind w:left="360"/>
        <w:rPr>
          <w:lang w:val="en-US"/>
        </w:rPr>
      </w:pPr>
    </w:p>
    <w:p w14:paraId="46515747" w14:textId="77777777" w:rsidR="006917F6" w:rsidRPr="00634CAB" w:rsidRDefault="006917F6" w:rsidP="006917F6">
      <w:pPr>
        <w:rPr>
          <w:b/>
          <w:bCs/>
          <w:lang w:val="en-US"/>
        </w:rPr>
      </w:pPr>
      <w:r w:rsidRPr="00634CAB">
        <w:rPr>
          <w:b/>
          <w:bCs/>
          <w:lang w:val="en-US"/>
        </w:rPr>
        <w:t>IV. Requirements for the Contractor:</w:t>
      </w:r>
    </w:p>
    <w:p w14:paraId="398E0EF8" w14:textId="77777777" w:rsidR="006917F6" w:rsidRPr="00634CAB" w:rsidRDefault="006917F6" w:rsidP="006917F6">
      <w:pPr>
        <w:numPr>
          <w:ilvl w:val="0"/>
          <w:numId w:val="20"/>
        </w:numPr>
        <w:spacing w:line="256" w:lineRule="auto"/>
        <w:rPr>
          <w:lang w:val="en-US"/>
        </w:rPr>
      </w:pPr>
      <w:r w:rsidRPr="00634CAB">
        <w:rPr>
          <w:lang w:val="en-US"/>
        </w:rPr>
        <w:t>Must have documented experience in preparing reports for the agrochemical or fertilizer industry.</w:t>
      </w:r>
    </w:p>
    <w:p w14:paraId="19E10136" w14:textId="607E5D66" w:rsidR="006917F6" w:rsidRPr="00634CAB" w:rsidRDefault="006917F6" w:rsidP="006917F6">
      <w:pPr>
        <w:numPr>
          <w:ilvl w:val="0"/>
          <w:numId w:val="20"/>
        </w:numPr>
        <w:spacing w:line="256" w:lineRule="auto"/>
        <w:rPr>
          <w:lang w:val="en-US"/>
        </w:rPr>
      </w:pPr>
      <w:r w:rsidRPr="00634CAB">
        <w:rPr>
          <w:lang w:val="en-US"/>
        </w:rPr>
        <w:t>Must provide at least 2 references for similar analyses carried out (in the last 3 years).</w:t>
      </w:r>
    </w:p>
    <w:p w14:paraId="67F8222C" w14:textId="694ECFE4" w:rsidR="006917F6" w:rsidRPr="00634CAB" w:rsidRDefault="006917F6" w:rsidP="006917F6">
      <w:pPr>
        <w:numPr>
          <w:ilvl w:val="0"/>
          <w:numId w:val="20"/>
        </w:numPr>
        <w:spacing w:line="256" w:lineRule="auto"/>
        <w:rPr>
          <w:lang w:val="en-US"/>
        </w:rPr>
      </w:pPr>
      <w:r w:rsidRPr="00634CAB">
        <w:rPr>
          <w:lang w:val="en-US"/>
        </w:rPr>
        <w:t>Must have an analytical team with documented experience.</w:t>
      </w:r>
    </w:p>
    <w:p w14:paraId="1BC5A6D3" w14:textId="77777777" w:rsidR="00862BFA" w:rsidRDefault="00862BFA" w:rsidP="006917F6">
      <w:pPr>
        <w:rPr>
          <w:lang w:val="en-US"/>
        </w:rPr>
      </w:pPr>
      <w:r w:rsidRPr="00862BFA">
        <w:rPr>
          <w:lang w:val="en-US"/>
        </w:rPr>
        <w:t xml:space="preserve">• Technical offer – containing information consistent with the request for quotation, indicating the scope that the tenderer declares to perform. </w:t>
      </w:r>
    </w:p>
    <w:p w14:paraId="326136DB" w14:textId="77777777" w:rsidR="005265A5" w:rsidRDefault="005265A5" w:rsidP="005265A5">
      <w:pPr>
        <w:rPr>
          <w:lang w:val="en-US"/>
        </w:rPr>
      </w:pPr>
      <w:r w:rsidRPr="005265A5">
        <w:rPr>
          <w:b/>
          <w:bCs/>
          <w:lang w:val="en-US"/>
        </w:rPr>
        <w:t>V.</w:t>
      </w:r>
      <w:r w:rsidRPr="005265A5">
        <w:rPr>
          <w:b/>
          <w:bCs/>
          <w:lang w:val="en-US"/>
        </w:rPr>
        <w:t xml:space="preserve"> Requirements for a formal offer:</w:t>
      </w:r>
    </w:p>
    <w:p w14:paraId="6A4BE969" w14:textId="18645860" w:rsidR="005265A5" w:rsidRDefault="005265A5" w:rsidP="005265A5">
      <w:pPr>
        <w:rPr>
          <w:lang w:val="en-US"/>
        </w:rPr>
      </w:pPr>
      <w:r w:rsidRPr="005265A5">
        <w:rPr>
          <w:lang w:val="en-US"/>
        </w:rPr>
        <w:br/>
      </w:r>
      <w:r>
        <w:rPr>
          <w:lang w:val="en-US"/>
        </w:rPr>
        <w:t>1</w:t>
      </w:r>
      <w:proofErr w:type="gramStart"/>
      <w:r>
        <w:rPr>
          <w:lang w:val="en-US"/>
        </w:rPr>
        <w:t xml:space="preserve">. </w:t>
      </w:r>
      <w:r w:rsidRPr="005265A5">
        <w:rPr>
          <w:lang w:val="en-US"/>
        </w:rPr>
        <w:t xml:space="preserve"> The</w:t>
      </w:r>
      <w:proofErr w:type="gramEnd"/>
      <w:r w:rsidRPr="005265A5">
        <w:rPr>
          <w:lang w:val="en-US"/>
        </w:rPr>
        <w:t xml:space="preserve"> proof of company foundation (it is required to enclose the Certificate of Incorporation issued not earlier </w:t>
      </w:r>
      <w:proofErr w:type="gramStart"/>
      <w:r w:rsidRPr="005265A5">
        <w:rPr>
          <w:lang w:val="en-US"/>
        </w:rPr>
        <w:t>that</w:t>
      </w:r>
      <w:proofErr w:type="gramEnd"/>
      <w:r w:rsidRPr="005265A5">
        <w:rPr>
          <w:lang w:val="en-US"/>
        </w:rPr>
        <w:t xml:space="preserve"> 3 months before the deadline for biding in pdf file)</w:t>
      </w:r>
      <w:r>
        <w:rPr>
          <w:lang w:val="en-US"/>
        </w:rPr>
        <w:t>.</w:t>
      </w:r>
      <w:r w:rsidRPr="005265A5">
        <w:rPr>
          <w:lang w:val="en-US"/>
        </w:rPr>
        <w:br/>
      </w:r>
      <w:r>
        <w:rPr>
          <w:lang w:val="en-US"/>
        </w:rPr>
        <w:t xml:space="preserve">2. </w:t>
      </w:r>
      <w:r w:rsidRPr="005265A5">
        <w:rPr>
          <w:lang w:val="en-US"/>
        </w:rPr>
        <w:t xml:space="preserve"> </w:t>
      </w:r>
      <w:proofErr w:type="gramStart"/>
      <w:r w:rsidRPr="005265A5">
        <w:rPr>
          <w:lang w:val="en-US"/>
        </w:rPr>
        <w:t>Confirmation</w:t>
      </w:r>
      <w:proofErr w:type="gramEnd"/>
      <w:r w:rsidRPr="005265A5">
        <w:rPr>
          <w:lang w:val="en-US"/>
        </w:rPr>
        <w:t xml:space="preserve"> that the bidder has read and accepts the DOCUMENT: Conditions of Participation in the RFI Request for Information Procedure.</w:t>
      </w:r>
    </w:p>
    <w:p w14:paraId="5C4202C0" w14:textId="77777777" w:rsidR="005265A5" w:rsidRDefault="005265A5" w:rsidP="005265A5">
      <w:pPr>
        <w:rPr>
          <w:lang w:val="en-US"/>
        </w:rPr>
      </w:pPr>
    </w:p>
    <w:p w14:paraId="08A20138" w14:textId="1B8E5FA6" w:rsidR="005265A5" w:rsidRPr="005265A5" w:rsidRDefault="005265A5" w:rsidP="005265A5">
      <w:pPr>
        <w:rPr>
          <w:b/>
          <w:bCs/>
          <w:lang w:val="en-US"/>
        </w:rPr>
      </w:pPr>
      <w:r w:rsidRPr="005265A5">
        <w:rPr>
          <w:b/>
          <w:bCs/>
          <w:lang w:val="en-US"/>
        </w:rPr>
        <w:t xml:space="preserve">VI. </w:t>
      </w:r>
      <w:r w:rsidRPr="005265A5">
        <w:rPr>
          <w:b/>
          <w:bCs/>
          <w:lang w:val="en-US"/>
        </w:rPr>
        <w:t>Requirements for a</w:t>
      </w:r>
      <w:r w:rsidRPr="005265A5">
        <w:rPr>
          <w:b/>
          <w:bCs/>
          <w:lang w:val="en-US"/>
        </w:rPr>
        <w:t xml:space="preserve"> commercial offer:</w:t>
      </w:r>
    </w:p>
    <w:p w14:paraId="77960484" w14:textId="77777777" w:rsidR="005265A5" w:rsidRPr="005265A5" w:rsidRDefault="005265A5" w:rsidP="005265A5">
      <w:pPr>
        <w:rPr>
          <w:lang w:val="en-US"/>
        </w:rPr>
      </w:pPr>
      <w:r w:rsidRPr="005265A5">
        <w:rPr>
          <w:lang w:val="en-US"/>
        </w:rPr>
        <w:t>1.   Under the ‘Price’ criterion, please enter the net price for the performance of the Subject of this Request for Proposal in accordance with the technical offer. Please attach a cost estimate for each item of the offered scope.</w:t>
      </w:r>
    </w:p>
    <w:p w14:paraId="51383ACE" w14:textId="77777777" w:rsidR="005265A5" w:rsidRPr="005265A5" w:rsidRDefault="005265A5" w:rsidP="005265A5">
      <w:pPr>
        <w:rPr>
          <w:lang w:val="en-US"/>
        </w:rPr>
      </w:pPr>
      <w:r w:rsidRPr="005265A5">
        <w:rPr>
          <w:lang w:val="en-US"/>
        </w:rPr>
        <w:t>2.   The price should be given as a net amount and must include all additional charges incurred during the performance of the service.</w:t>
      </w:r>
    </w:p>
    <w:p w14:paraId="7534DE9A" w14:textId="77777777" w:rsidR="005265A5" w:rsidRPr="005265A5" w:rsidRDefault="005265A5" w:rsidP="005265A5">
      <w:pPr>
        <w:rPr>
          <w:lang w:val="en-US"/>
        </w:rPr>
      </w:pPr>
      <w:r w:rsidRPr="005265A5">
        <w:rPr>
          <w:lang w:val="en-US"/>
        </w:rPr>
        <w:t>3</w:t>
      </w:r>
      <w:proofErr w:type="gramStart"/>
      <w:r w:rsidRPr="005265A5">
        <w:rPr>
          <w:lang w:val="en-US"/>
        </w:rPr>
        <w:t>.  The</w:t>
      </w:r>
      <w:proofErr w:type="gramEnd"/>
      <w:r w:rsidRPr="005265A5">
        <w:rPr>
          <w:lang w:val="en-US"/>
        </w:rPr>
        <w:t xml:space="preserve"> price may only be indicated on the Connect Platform in the space provided for this purpose.</w:t>
      </w:r>
    </w:p>
    <w:p w14:paraId="49DD69F6" w14:textId="77777777" w:rsidR="00862BFA" w:rsidRDefault="00862BFA" w:rsidP="006917F6">
      <w:pPr>
        <w:rPr>
          <w:lang w:val="en-US"/>
        </w:rPr>
      </w:pPr>
    </w:p>
    <w:p w14:paraId="67DEEC16" w14:textId="77777777" w:rsidR="005265A5" w:rsidRDefault="005265A5" w:rsidP="006917F6">
      <w:pPr>
        <w:rPr>
          <w:b/>
          <w:bCs/>
          <w:lang w:val="en-US"/>
        </w:rPr>
      </w:pPr>
    </w:p>
    <w:p w14:paraId="3543DC9C" w14:textId="19803E33" w:rsidR="006917F6" w:rsidRPr="00634CAB" w:rsidRDefault="006917F6" w:rsidP="006917F6">
      <w:pPr>
        <w:rPr>
          <w:b/>
          <w:bCs/>
          <w:lang w:val="en-US"/>
        </w:rPr>
      </w:pPr>
      <w:r w:rsidRPr="00634CAB">
        <w:rPr>
          <w:b/>
          <w:bCs/>
          <w:lang w:val="en-US"/>
        </w:rPr>
        <w:t>V</w:t>
      </w:r>
      <w:r w:rsidR="00862BFA">
        <w:rPr>
          <w:b/>
          <w:bCs/>
          <w:lang w:val="en-US"/>
        </w:rPr>
        <w:t>III</w:t>
      </w:r>
      <w:r w:rsidRPr="00634CAB">
        <w:rPr>
          <w:b/>
          <w:bCs/>
          <w:lang w:val="en-US"/>
        </w:rPr>
        <w:t>. Deadline:</w:t>
      </w:r>
    </w:p>
    <w:p w14:paraId="0773125C" w14:textId="53261C31" w:rsidR="006917F6" w:rsidRPr="00634CAB" w:rsidRDefault="006917F6" w:rsidP="006917F6">
      <w:pPr>
        <w:numPr>
          <w:ilvl w:val="0"/>
          <w:numId w:val="21"/>
        </w:numPr>
        <w:spacing w:line="256" w:lineRule="auto"/>
        <w:rPr>
          <w:lang w:val="en-US"/>
        </w:rPr>
      </w:pPr>
      <w:r w:rsidRPr="00634CAB">
        <w:rPr>
          <w:b/>
          <w:bCs/>
          <w:lang w:val="en-US"/>
        </w:rPr>
        <w:t xml:space="preserve">Deadline for executing the order: </w:t>
      </w:r>
      <w:r w:rsidRPr="00634CAB">
        <w:rPr>
          <w:lang w:val="en-US"/>
        </w:rPr>
        <w:t>up to 3 months from the date of signing the contract.</w:t>
      </w:r>
    </w:p>
    <w:p w14:paraId="5C60EB17" w14:textId="77777777" w:rsidR="005265A5" w:rsidRDefault="005265A5" w:rsidP="006917F6">
      <w:pPr>
        <w:rPr>
          <w:b/>
          <w:bCs/>
          <w:lang w:val="en-US"/>
        </w:rPr>
      </w:pPr>
    </w:p>
    <w:p w14:paraId="1D6C3C25" w14:textId="5C9F0A74" w:rsidR="006917F6" w:rsidRPr="00634CAB" w:rsidRDefault="00862BFA" w:rsidP="006917F6">
      <w:pPr>
        <w:rPr>
          <w:b/>
          <w:bCs/>
          <w:lang w:val="en-US"/>
        </w:rPr>
      </w:pPr>
      <w:r>
        <w:rPr>
          <w:b/>
          <w:bCs/>
          <w:lang w:val="en-US"/>
        </w:rPr>
        <w:lastRenderedPageBreak/>
        <w:t>IX</w:t>
      </w:r>
      <w:r w:rsidR="006917F6" w:rsidRPr="00634CAB">
        <w:rPr>
          <w:b/>
          <w:bCs/>
          <w:lang w:val="en-US"/>
        </w:rPr>
        <w:t>. Method of Executing and Accepting Work:</w:t>
      </w:r>
    </w:p>
    <w:p w14:paraId="6CB32663" w14:textId="77777777" w:rsidR="006917F6" w:rsidRPr="00634CAB" w:rsidRDefault="006917F6" w:rsidP="006917F6">
      <w:pPr>
        <w:numPr>
          <w:ilvl w:val="0"/>
          <w:numId w:val="22"/>
        </w:numPr>
        <w:spacing w:line="256" w:lineRule="auto"/>
        <w:rPr>
          <w:lang w:val="en-US"/>
        </w:rPr>
      </w:pPr>
      <w:r w:rsidRPr="00634CAB">
        <w:rPr>
          <w:b/>
          <w:bCs/>
          <w:lang w:val="en-US"/>
        </w:rPr>
        <w:t>Review:</w:t>
      </w:r>
      <w:r w:rsidRPr="00634CAB">
        <w:rPr>
          <w:lang w:val="en-US"/>
        </w:rPr>
        <w:t xml:space="preserve"> The report will undergo a review process by representatives of ANWIL S.A.</w:t>
      </w:r>
    </w:p>
    <w:p w14:paraId="2FD48273" w14:textId="77777777" w:rsidR="006917F6" w:rsidRPr="00634CAB" w:rsidRDefault="006917F6" w:rsidP="006917F6">
      <w:pPr>
        <w:numPr>
          <w:ilvl w:val="0"/>
          <w:numId w:val="22"/>
        </w:numPr>
        <w:spacing w:line="256" w:lineRule="auto"/>
        <w:rPr>
          <w:lang w:val="en-US"/>
        </w:rPr>
      </w:pPr>
      <w:r w:rsidRPr="00634CAB">
        <w:rPr>
          <w:b/>
          <w:bCs/>
          <w:lang w:val="en-US"/>
        </w:rPr>
        <w:t>Final version:</w:t>
      </w:r>
    </w:p>
    <w:p w14:paraId="069D5191" w14:textId="4E3CDA0F" w:rsidR="006917F6" w:rsidRPr="00634CAB" w:rsidRDefault="006917F6" w:rsidP="006917F6">
      <w:pPr>
        <w:numPr>
          <w:ilvl w:val="1"/>
          <w:numId w:val="22"/>
        </w:numPr>
        <w:spacing w:line="256" w:lineRule="auto"/>
        <w:rPr>
          <w:lang w:val="en-US"/>
        </w:rPr>
      </w:pPr>
      <w:r w:rsidRPr="00634CAB">
        <w:rPr>
          <w:lang w:val="en-US"/>
        </w:rPr>
        <w:t>Format: PDF file submitted electronically and on an external data carrier.</w:t>
      </w:r>
    </w:p>
    <w:p w14:paraId="5C4EEEB5" w14:textId="77777777" w:rsidR="006917F6" w:rsidRPr="00634CAB" w:rsidRDefault="006917F6" w:rsidP="006917F6">
      <w:pPr>
        <w:numPr>
          <w:ilvl w:val="1"/>
          <w:numId w:val="22"/>
        </w:numPr>
        <w:spacing w:line="256" w:lineRule="auto"/>
        <w:rPr>
          <w:lang w:val="en-US"/>
        </w:rPr>
      </w:pPr>
      <w:r w:rsidRPr="00634CAB">
        <w:rPr>
          <w:lang w:val="en-US"/>
        </w:rPr>
        <w:t>Language: Polish or English (PL/ENG).</w:t>
      </w:r>
    </w:p>
    <w:p w14:paraId="5B287716" w14:textId="2915E17B" w:rsidR="006917F6" w:rsidRPr="00634CAB" w:rsidRDefault="006917F6" w:rsidP="006917F6">
      <w:pPr>
        <w:numPr>
          <w:ilvl w:val="1"/>
          <w:numId w:val="22"/>
        </w:numPr>
        <w:spacing w:line="256" w:lineRule="auto"/>
        <w:rPr>
          <w:lang w:val="en-US"/>
        </w:rPr>
      </w:pPr>
      <w:r w:rsidRPr="00634CAB">
        <w:rPr>
          <w:lang w:val="en-US"/>
        </w:rPr>
        <w:t>Sources: All data (charts, tables, graphics) must include documented sources (citations, bibliography).</w:t>
      </w:r>
    </w:p>
    <w:p w14:paraId="268F18CE" w14:textId="3D6D76F4" w:rsidR="00572651" w:rsidRPr="00634CAB" w:rsidRDefault="006917F6" w:rsidP="006917F6">
      <w:pPr>
        <w:pStyle w:val="Akapitzlist"/>
        <w:numPr>
          <w:ilvl w:val="0"/>
          <w:numId w:val="22"/>
        </w:numPr>
        <w:tabs>
          <w:tab w:val="num" w:pos="360"/>
        </w:tabs>
        <w:spacing w:after="0" w:line="360" w:lineRule="auto"/>
        <w:jc w:val="both"/>
        <w:rPr>
          <w:rFonts w:ascii="Arial" w:eastAsia="Calibri" w:hAnsi="Arial" w:cs="Arial"/>
          <w:szCs w:val="20"/>
          <w:lang w:val="en-US"/>
        </w:rPr>
      </w:pPr>
      <w:r w:rsidRPr="00634CAB">
        <w:rPr>
          <w:b/>
          <w:bCs/>
          <w:lang w:val="en-US"/>
        </w:rPr>
        <w:t>Acceptance:</w:t>
      </w:r>
      <w:r w:rsidRPr="00634CAB">
        <w:rPr>
          <w:lang w:val="en-US"/>
        </w:rPr>
        <w:t xml:space="preserve"> After incorporating any corrections and additions resulting from the review process, the documentation will be handed over, confirmed by an Acceptance Report. Upon final acceptance, the proprietary copyrights to the report will be transferred to the Ordering Party.</w:t>
      </w:r>
      <w:r w:rsidRPr="00634CAB">
        <w:rPr>
          <w:szCs w:val="20"/>
          <w:lang w:val="en-US"/>
        </w:rPr>
        <w:tab/>
      </w:r>
      <w:r w:rsidRPr="00634CAB">
        <w:rPr>
          <w:szCs w:val="20"/>
          <w:lang w:val="en-US"/>
        </w:rPr>
        <w:tab/>
      </w:r>
      <w:r w:rsidRPr="00634CAB">
        <w:rPr>
          <w:szCs w:val="20"/>
          <w:lang w:val="en-US"/>
        </w:rPr>
        <w:tab/>
      </w:r>
      <w:r w:rsidRPr="00634CAB">
        <w:rPr>
          <w:szCs w:val="20"/>
          <w:lang w:val="en-US"/>
        </w:rPr>
        <w:tab/>
      </w:r>
      <w:r w:rsidRPr="00634CAB">
        <w:rPr>
          <w:szCs w:val="20"/>
          <w:lang w:val="en-US"/>
        </w:rPr>
        <w:tab/>
      </w:r>
      <w:r w:rsidRPr="00634CAB">
        <w:rPr>
          <w:szCs w:val="20"/>
          <w:lang w:val="en-US"/>
        </w:rPr>
        <w:tab/>
      </w:r>
      <w:r w:rsidRPr="00634CAB">
        <w:rPr>
          <w:szCs w:val="20"/>
          <w:lang w:val="en-US"/>
        </w:rPr>
        <w:tab/>
      </w:r>
    </w:p>
    <w:p w14:paraId="51F08021" w14:textId="77777777" w:rsidR="00C72255" w:rsidRPr="00634CAB" w:rsidRDefault="00C72255">
      <w:pPr>
        <w:rPr>
          <w:lang w:val="en-US"/>
        </w:rPr>
      </w:pPr>
    </w:p>
    <w:sectPr w:rsidR="00C72255" w:rsidRPr="00634CA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646E7" w14:textId="77777777" w:rsidR="000C3304" w:rsidRDefault="000C3304" w:rsidP="003F5183">
      <w:pPr>
        <w:spacing w:after="0" w:line="240" w:lineRule="auto"/>
      </w:pPr>
      <w:r>
        <w:separator/>
      </w:r>
    </w:p>
  </w:endnote>
  <w:endnote w:type="continuationSeparator" w:id="0">
    <w:p w14:paraId="6301343E" w14:textId="77777777" w:rsidR="000C3304" w:rsidRDefault="000C3304" w:rsidP="003F5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1238266"/>
      <w:docPartObj>
        <w:docPartGallery w:val="Page Numbers (Bottom of Page)"/>
        <w:docPartUnique/>
      </w:docPartObj>
    </w:sdtPr>
    <w:sdtEndPr>
      <w:rPr>
        <w:rFonts w:ascii="Arial" w:hAnsi="Arial" w:cs="Arial"/>
        <w:sz w:val="16"/>
        <w:szCs w:val="16"/>
      </w:rPr>
    </w:sdtEndPr>
    <w:sdtContent>
      <w:p w14:paraId="410C4C0B" w14:textId="77777777" w:rsidR="003F5183" w:rsidRPr="003F5183" w:rsidRDefault="003F5183">
        <w:pPr>
          <w:pStyle w:val="Stopka"/>
          <w:jc w:val="right"/>
          <w:rPr>
            <w:rFonts w:ascii="Arial" w:hAnsi="Arial" w:cs="Arial"/>
            <w:sz w:val="16"/>
            <w:szCs w:val="16"/>
          </w:rPr>
        </w:pPr>
        <w:r>
          <w:rPr>
            <w:rFonts w:ascii="Arial" w:hAnsi="Arial" w:cs="Arial"/>
            <w:sz w:val="16"/>
            <w:szCs w:val="16"/>
            <w:lang w:val="en"/>
          </w:rPr>
          <w:fldChar w:fldCharType="begin"/>
        </w:r>
        <w:r>
          <w:rPr>
            <w:rFonts w:ascii="Arial" w:hAnsi="Arial" w:cs="Arial"/>
            <w:sz w:val="16"/>
            <w:szCs w:val="16"/>
            <w:lang w:val="en"/>
          </w:rPr>
          <w:instrText>PAGE   \* MERGEFORMAT</w:instrText>
        </w:r>
        <w:r>
          <w:rPr>
            <w:rFonts w:ascii="Arial" w:hAnsi="Arial" w:cs="Arial"/>
            <w:sz w:val="16"/>
            <w:szCs w:val="16"/>
            <w:lang w:val="en"/>
          </w:rPr>
          <w:fldChar w:fldCharType="separate"/>
        </w:r>
        <w:r>
          <w:rPr>
            <w:rFonts w:ascii="Arial" w:hAnsi="Arial" w:cs="Arial"/>
            <w:noProof/>
            <w:sz w:val="16"/>
            <w:szCs w:val="16"/>
            <w:lang w:val="en"/>
          </w:rPr>
          <w:t>1</w:t>
        </w:r>
        <w:r>
          <w:rPr>
            <w:rFonts w:ascii="Arial" w:hAnsi="Arial" w:cs="Arial"/>
            <w:sz w:val="16"/>
            <w:szCs w:val="16"/>
            <w:lang w:val="en"/>
          </w:rPr>
          <w:fldChar w:fldCharType="end"/>
        </w:r>
      </w:p>
    </w:sdtContent>
  </w:sdt>
  <w:p w14:paraId="0FCE08E2" w14:textId="77777777" w:rsidR="003F5183" w:rsidRDefault="003F51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63466" w14:textId="77777777" w:rsidR="000C3304" w:rsidRDefault="000C3304" w:rsidP="003F5183">
      <w:pPr>
        <w:spacing w:after="0" w:line="240" w:lineRule="auto"/>
      </w:pPr>
      <w:r>
        <w:separator/>
      </w:r>
    </w:p>
  </w:footnote>
  <w:footnote w:type="continuationSeparator" w:id="0">
    <w:p w14:paraId="64F4E621" w14:textId="77777777" w:rsidR="000C3304" w:rsidRDefault="000C3304" w:rsidP="003F5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99D4C" w14:textId="77777777" w:rsidR="003F5183" w:rsidRPr="00634CAB" w:rsidRDefault="003F5183" w:rsidP="007E5F1E">
    <w:pPr>
      <w:pStyle w:val="Nagwek"/>
      <w:tabs>
        <w:tab w:val="clear" w:pos="4536"/>
        <w:tab w:val="center" w:pos="0"/>
      </w:tabs>
      <w:rPr>
        <w:rFonts w:ascii="Arial" w:hAnsi="Arial" w:cs="Arial"/>
        <w:sz w:val="20"/>
        <w:szCs w:val="20"/>
        <w:lang w:val="en-US"/>
      </w:rPr>
    </w:pPr>
    <w:r w:rsidRPr="00634CAB">
      <w:rPr>
        <w:rFonts w:ascii="Arial" w:hAnsi="Arial" w:cs="Arial"/>
        <w:sz w:val="20"/>
        <w:szCs w:val="20"/>
        <w:lang w:val="en-US"/>
      </w:rPr>
      <w:t>Order No. 39/2023</w:t>
    </w:r>
    <w:r w:rsidRPr="00634CAB">
      <w:rPr>
        <w:rFonts w:ascii="Arial" w:hAnsi="Arial" w:cs="Arial"/>
        <w:sz w:val="20"/>
        <w:szCs w:val="20"/>
        <w:lang w:val="en-US"/>
      </w:rPr>
      <w:tab/>
      <w:t>Appendix No. 3 to the Procurement Manual at ANWIL S.A.</w:t>
    </w:r>
  </w:p>
  <w:p w14:paraId="61F436B6" w14:textId="77777777" w:rsidR="003F5183" w:rsidRPr="00634CAB" w:rsidRDefault="003F5183">
    <w:pPr>
      <w:pStyle w:val="Nagwek"/>
      <w:rPr>
        <w:rFonts w:ascii="Arial" w:hAnsi="Arial" w:cs="Arial"/>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E64A5"/>
    <w:multiLevelType w:val="hybridMultilevel"/>
    <w:tmpl w:val="6B92202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E316C97"/>
    <w:multiLevelType w:val="hybridMultilevel"/>
    <w:tmpl w:val="7340CA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E7E0EB7"/>
    <w:multiLevelType w:val="multilevel"/>
    <w:tmpl w:val="806E6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251EF3"/>
    <w:multiLevelType w:val="multilevel"/>
    <w:tmpl w:val="118C7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AC065C"/>
    <w:multiLevelType w:val="hybridMultilevel"/>
    <w:tmpl w:val="28C69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0B66C4D"/>
    <w:multiLevelType w:val="multilevel"/>
    <w:tmpl w:val="12243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C34602"/>
    <w:multiLevelType w:val="hybridMultilevel"/>
    <w:tmpl w:val="DED29B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320246B4"/>
    <w:multiLevelType w:val="multilevel"/>
    <w:tmpl w:val="50F4F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D7734B"/>
    <w:multiLevelType w:val="hybridMultilevel"/>
    <w:tmpl w:val="A058D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8083D8C"/>
    <w:multiLevelType w:val="multilevel"/>
    <w:tmpl w:val="C3307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BA04E9"/>
    <w:multiLevelType w:val="multilevel"/>
    <w:tmpl w:val="177E9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D325DD"/>
    <w:multiLevelType w:val="multilevel"/>
    <w:tmpl w:val="79DC5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2D5DDF"/>
    <w:multiLevelType w:val="multilevel"/>
    <w:tmpl w:val="091273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E75D08"/>
    <w:multiLevelType w:val="multilevel"/>
    <w:tmpl w:val="9BA22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635A00"/>
    <w:multiLevelType w:val="hybridMultilevel"/>
    <w:tmpl w:val="4AD2F098"/>
    <w:lvl w:ilvl="0" w:tplc="45F2B8A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457F08"/>
    <w:multiLevelType w:val="multilevel"/>
    <w:tmpl w:val="4B32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A84148"/>
    <w:multiLevelType w:val="multilevel"/>
    <w:tmpl w:val="6B783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BA3EAB"/>
    <w:multiLevelType w:val="multilevel"/>
    <w:tmpl w:val="B97C70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E7F3366"/>
    <w:multiLevelType w:val="multilevel"/>
    <w:tmpl w:val="35BE37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5753D3D"/>
    <w:multiLevelType w:val="multilevel"/>
    <w:tmpl w:val="13CA8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E5675B"/>
    <w:multiLevelType w:val="multilevel"/>
    <w:tmpl w:val="D3748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CF3924"/>
    <w:multiLevelType w:val="hybridMultilevel"/>
    <w:tmpl w:val="D67AB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75824EEE"/>
    <w:multiLevelType w:val="hybridMultilevel"/>
    <w:tmpl w:val="4C3035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1A0478"/>
    <w:multiLevelType w:val="multilevel"/>
    <w:tmpl w:val="63DA0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13696E"/>
    <w:multiLevelType w:val="hybridMultilevel"/>
    <w:tmpl w:val="4C269F5E"/>
    <w:lvl w:ilvl="0" w:tplc="0415000F">
      <w:start w:val="1"/>
      <w:numFmt w:val="decimal"/>
      <w:lvlText w:val="%1."/>
      <w:lvlJc w:val="left"/>
      <w:pPr>
        <w:tabs>
          <w:tab w:val="num" w:pos="360"/>
        </w:tabs>
        <w:ind w:left="360" w:hanging="360"/>
      </w:pPr>
    </w:lvl>
    <w:lvl w:ilvl="1" w:tplc="1DBE8222">
      <w:start w:val="87"/>
      <w:numFmt w:val="bullet"/>
      <w:lvlText w:val="–"/>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35544729">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7173724">
    <w:abstractNumId w:val="10"/>
  </w:num>
  <w:num w:numId="3" w16cid:durableId="371467960">
    <w:abstractNumId w:val="22"/>
  </w:num>
  <w:num w:numId="4" w16cid:durableId="6447476">
    <w:abstractNumId w:val="19"/>
  </w:num>
  <w:num w:numId="5" w16cid:durableId="1923877936">
    <w:abstractNumId w:val="9"/>
  </w:num>
  <w:num w:numId="6" w16cid:durableId="1919751659">
    <w:abstractNumId w:val="23"/>
  </w:num>
  <w:num w:numId="7" w16cid:durableId="1529177790">
    <w:abstractNumId w:val="3"/>
  </w:num>
  <w:num w:numId="8" w16cid:durableId="1271089432">
    <w:abstractNumId w:val="15"/>
  </w:num>
  <w:num w:numId="9" w16cid:durableId="381754940">
    <w:abstractNumId w:val="1"/>
  </w:num>
  <w:num w:numId="10" w16cid:durableId="847868784">
    <w:abstractNumId w:val="21"/>
  </w:num>
  <w:num w:numId="11" w16cid:durableId="46688230">
    <w:abstractNumId w:val="6"/>
  </w:num>
  <w:num w:numId="12" w16cid:durableId="1774207928">
    <w:abstractNumId w:val="4"/>
  </w:num>
  <w:num w:numId="13" w16cid:durableId="2124809429">
    <w:abstractNumId w:val="0"/>
  </w:num>
  <w:num w:numId="14" w16cid:durableId="1241407859">
    <w:abstractNumId w:val="7"/>
  </w:num>
  <w:num w:numId="15" w16cid:durableId="1546483324">
    <w:abstractNumId w:val="2"/>
  </w:num>
  <w:num w:numId="16" w16cid:durableId="932586256">
    <w:abstractNumId w:val="5"/>
  </w:num>
  <w:num w:numId="17" w16cid:durableId="988443743">
    <w:abstractNumId w:val="13"/>
  </w:num>
  <w:num w:numId="18" w16cid:durableId="110832280">
    <w:abstractNumId w:val="12"/>
  </w:num>
  <w:num w:numId="19" w16cid:durableId="1608539022">
    <w:abstractNumId w:val="20"/>
  </w:num>
  <w:num w:numId="20" w16cid:durableId="1720400550">
    <w:abstractNumId w:val="16"/>
  </w:num>
  <w:num w:numId="21" w16cid:durableId="7360510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5485347">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3678093">
    <w:abstractNumId w:val="11"/>
  </w:num>
  <w:num w:numId="24" w16cid:durableId="40325613">
    <w:abstractNumId w:val="8"/>
  </w:num>
  <w:num w:numId="25" w16cid:durableId="9988435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948"/>
    <w:rsid w:val="0004061D"/>
    <w:rsid w:val="000445FD"/>
    <w:rsid w:val="00056309"/>
    <w:rsid w:val="000C2339"/>
    <w:rsid w:val="000C30F1"/>
    <w:rsid w:val="000C3304"/>
    <w:rsid w:val="000C5D35"/>
    <w:rsid w:val="000D522C"/>
    <w:rsid w:val="000E1BA1"/>
    <w:rsid w:val="000F19AA"/>
    <w:rsid w:val="00137352"/>
    <w:rsid w:val="00152E9D"/>
    <w:rsid w:val="00160589"/>
    <w:rsid w:val="00160D04"/>
    <w:rsid w:val="0016467A"/>
    <w:rsid w:val="00187291"/>
    <w:rsid w:val="001D3948"/>
    <w:rsid w:val="001E1002"/>
    <w:rsid w:val="001F4696"/>
    <w:rsid w:val="00226333"/>
    <w:rsid w:val="00282087"/>
    <w:rsid w:val="00287650"/>
    <w:rsid w:val="002919CB"/>
    <w:rsid w:val="002A205C"/>
    <w:rsid w:val="002A4DE3"/>
    <w:rsid w:val="002C47CD"/>
    <w:rsid w:val="002D4A31"/>
    <w:rsid w:val="002F22C1"/>
    <w:rsid w:val="002F7511"/>
    <w:rsid w:val="003001E3"/>
    <w:rsid w:val="00323697"/>
    <w:rsid w:val="00327145"/>
    <w:rsid w:val="00336BB6"/>
    <w:rsid w:val="003B6688"/>
    <w:rsid w:val="003D1507"/>
    <w:rsid w:val="003F34A2"/>
    <w:rsid w:val="003F5183"/>
    <w:rsid w:val="004477F3"/>
    <w:rsid w:val="00453562"/>
    <w:rsid w:val="004A5B12"/>
    <w:rsid w:val="004B0D28"/>
    <w:rsid w:val="004B48F4"/>
    <w:rsid w:val="004D20D2"/>
    <w:rsid w:val="004D56A3"/>
    <w:rsid w:val="004D6168"/>
    <w:rsid w:val="004E1A9F"/>
    <w:rsid w:val="004E27FA"/>
    <w:rsid w:val="00512866"/>
    <w:rsid w:val="0051633B"/>
    <w:rsid w:val="005265A5"/>
    <w:rsid w:val="0056422B"/>
    <w:rsid w:val="005707EB"/>
    <w:rsid w:val="00572651"/>
    <w:rsid w:val="00583C58"/>
    <w:rsid w:val="00584776"/>
    <w:rsid w:val="005974E1"/>
    <w:rsid w:val="005C7CCE"/>
    <w:rsid w:val="005D01C1"/>
    <w:rsid w:val="005D3A22"/>
    <w:rsid w:val="005D6151"/>
    <w:rsid w:val="005F0466"/>
    <w:rsid w:val="00600784"/>
    <w:rsid w:val="006152A7"/>
    <w:rsid w:val="00634CAB"/>
    <w:rsid w:val="0064575A"/>
    <w:rsid w:val="0066576D"/>
    <w:rsid w:val="00671B7E"/>
    <w:rsid w:val="00673BC6"/>
    <w:rsid w:val="0068161D"/>
    <w:rsid w:val="006917F6"/>
    <w:rsid w:val="006A5002"/>
    <w:rsid w:val="006B50A9"/>
    <w:rsid w:val="006B66D7"/>
    <w:rsid w:val="006C4AEF"/>
    <w:rsid w:val="006E5C24"/>
    <w:rsid w:val="00753B3E"/>
    <w:rsid w:val="00757142"/>
    <w:rsid w:val="00757EC0"/>
    <w:rsid w:val="0076042A"/>
    <w:rsid w:val="00760561"/>
    <w:rsid w:val="007742D1"/>
    <w:rsid w:val="007D225C"/>
    <w:rsid w:val="007E084E"/>
    <w:rsid w:val="007E5F1E"/>
    <w:rsid w:val="007F34F0"/>
    <w:rsid w:val="00800643"/>
    <w:rsid w:val="008049D4"/>
    <w:rsid w:val="00811195"/>
    <w:rsid w:val="008339CB"/>
    <w:rsid w:val="00862BFA"/>
    <w:rsid w:val="00864380"/>
    <w:rsid w:val="00874DA1"/>
    <w:rsid w:val="008B5C02"/>
    <w:rsid w:val="008C600D"/>
    <w:rsid w:val="008C6505"/>
    <w:rsid w:val="008E077C"/>
    <w:rsid w:val="008E2947"/>
    <w:rsid w:val="008E6376"/>
    <w:rsid w:val="00912D4C"/>
    <w:rsid w:val="009208FF"/>
    <w:rsid w:val="009313E0"/>
    <w:rsid w:val="009318A4"/>
    <w:rsid w:val="00931C2F"/>
    <w:rsid w:val="00960F37"/>
    <w:rsid w:val="00971D48"/>
    <w:rsid w:val="009A4C9B"/>
    <w:rsid w:val="009A6328"/>
    <w:rsid w:val="009C07E3"/>
    <w:rsid w:val="009D242A"/>
    <w:rsid w:val="009E4F15"/>
    <w:rsid w:val="00A024D5"/>
    <w:rsid w:val="00A2331B"/>
    <w:rsid w:val="00A24734"/>
    <w:rsid w:val="00A3170E"/>
    <w:rsid w:val="00A33B38"/>
    <w:rsid w:val="00A52583"/>
    <w:rsid w:val="00A75CCC"/>
    <w:rsid w:val="00A925B8"/>
    <w:rsid w:val="00AA336F"/>
    <w:rsid w:val="00AC5274"/>
    <w:rsid w:val="00AF2CD4"/>
    <w:rsid w:val="00B11111"/>
    <w:rsid w:val="00B1627C"/>
    <w:rsid w:val="00B40C13"/>
    <w:rsid w:val="00B44449"/>
    <w:rsid w:val="00B44C40"/>
    <w:rsid w:val="00B461D0"/>
    <w:rsid w:val="00B60F15"/>
    <w:rsid w:val="00B72F57"/>
    <w:rsid w:val="00B94198"/>
    <w:rsid w:val="00BA2F93"/>
    <w:rsid w:val="00BB767C"/>
    <w:rsid w:val="00BD298F"/>
    <w:rsid w:val="00BD7B85"/>
    <w:rsid w:val="00BE0914"/>
    <w:rsid w:val="00BE5075"/>
    <w:rsid w:val="00BF44B0"/>
    <w:rsid w:val="00C035C3"/>
    <w:rsid w:val="00C26D59"/>
    <w:rsid w:val="00C41A86"/>
    <w:rsid w:val="00C42AFA"/>
    <w:rsid w:val="00C44D9E"/>
    <w:rsid w:val="00C533C6"/>
    <w:rsid w:val="00C72255"/>
    <w:rsid w:val="00C92186"/>
    <w:rsid w:val="00C92AA3"/>
    <w:rsid w:val="00C949F0"/>
    <w:rsid w:val="00CE0A12"/>
    <w:rsid w:val="00D1793A"/>
    <w:rsid w:val="00D22F22"/>
    <w:rsid w:val="00D361FB"/>
    <w:rsid w:val="00D36BD3"/>
    <w:rsid w:val="00D45BDA"/>
    <w:rsid w:val="00D529B8"/>
    <w:rsid w:val="00D573B6"/>
    <w:rsid w:val="00D865CC"/>
    <w:rsid w:val="00DA77A5"/>
    <w:rsid w:val="00DB1812"/>
    <w:rsid w:val="00DB6F63"/>
    <w:rsid w:val="00DC0775"/>
    <w:rsid w:val="00DC1B88"/>
    <w:rsid w:val="00DC2FE9"/>
    <w:rsid w:val="00E9269C"/>
    <w:rsid w:val="00EB2C63"/>
    <w:rsid w:val="00EB44C0"/>
    <w:rsid w:val="00ED48A1"/>
    <w:rsid w:val="00EE3126"/>
    <w:rsid w:val="00F02BAC"/>
    <w:rsid w:val="00F03FAC"/>
    <w:rsid w:val="00F05A1A"/>
    <w:rsid w:val="00F24AC5"/>
    <w:rsid w:val="00F4505D"/>
    <w:rsid w:val="00F45F92"/>
    <w:rsid w:val="00F4631B"/>
    <w:rsid w:val="00FA5C45"/>
    <w:rsid w:val="00FB52AA"/>
    <w:rsid w:val="00FD48DB"/>
    <w:rsid w:val="00FF32C6"/>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DBB29"/>
  <w15:docId w15:val="{E4B26410-2409-44D0-A636-DD7416A9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F51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183"/>
  </w:style>
  <w:style w:type="paragraph" w:styleId="Stopka">
    <w:name w:val="footer"/>
    <w:basedOn w:val="Normalny"/>
    <w:link w:val="StopkaZnak"/>
    <w:uiPriority w:val="99"/>
    <w:unhideWhenUsed/>
    <w:rsid w:val="003F51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183"/>
  </w:style>
  <w:style w:type="paragraph" w:styleId="Akapitzlist">
    <w:name w:val="List Paragraph"/>
    <w:basedOn w:val="Normalny"/>
    <w:uiPriority w:val="1"/>
    <w:qFormat/>
    <w:rsid w:val="000F19AA"/>
    <w:pPr>
      <w:ind w:left="720"/>
      <w:contextualSpacing/>
    </w:pPr>
  </w:style>
  <w:style w:type="paragraph" w:styleId="Poprawka">
    <w:name w:val="Revision"/>
    <w:hidden/>
    <w:uiPriority w:val="99"/>
    <w:semiHidden/>
    <w:rsid w:val="00C949F0"/>
    <w:pPr>
      <w:spacing w:after="0" w:line="240" w:lineRule="auto"/>
    </w:pPr>
  </w:style>
  <w:style w:type="character" w:styleId="Odwoaniedokomentarza">
    <w:name w:val="annotation reference"/>
    <w:basedOn w:val="Domylnaczcionkaakapitu"/>
    <w:uiPriority w:val="99"/>
    <w:semiHidden/>
    <w:unhideWhenUsed/>
    <w:rsid w:val="0016467A"/>
    <w:rPr>
      <w:sz w:val="16"/>
      <w:szCs w:val="16"/>
    </w:rPr>
  </w:style>
  <w:style w:type="paragraph" w:styleId="Tekstkomentarza">
    <w:name w:val="annotation text"/>
    <w:basedOn w:val="Normalny"/>
    <w:link w:val="TekstkomentarzaZnak"/>
    <w:uiPriority w:val="99"/>
    <w:unhideWhenUsed/>
    <w:rsid w:val="0016467A"/>
    <w:pPr>
      <w:spacing w:line="240" w:lineRule="auto"/>
    </w:pPr>
    <w:rPr>
      <w:sz w:val="20"/>
      <w:szCs w:val="20"/>
    </w:rPr>
  </w:style>
  <w:style w:type="character" w:customStyle="1" w:styleId="TekstkomentarzaZnak">
    <w:name w:val="Tekst komentarza Znak"/>
    <w:basedOn w:val="Domylnaczcionkaakapitu"/>
    <w:link w:val="Tekstkomentarza"/>
    <w:uiPriority w:val="99"/>
    <w:rsid w:val="0016467A"/>
    <w:rPr>
      <w:sz w:val="20"/>
      <w:szCs w:val="20"/>
    </w:rPr>
  </w:style>
  <w:style w:type="paragraph" w:styleId="Tematkomentarza">
    <w:name w:val="annotation subject"/>
    <w:basedOn w:val="Tekstkomentarza"/>
    <w:next w:val="Tekstkomentarza"/>
    <w:link w:val="TematkomentarzaZnak"/>
    <w:uiPriority w:val="99"/>
    <w:semiHidden/>
    <w:unhideWhenUsed/>
    <w:rsid w:val="0016467A"/>
    <w:rPr>
      <w:b/>
      <w:bCs/>
    </w:rPr>
  </w:style>
  <w:style w:type="character" w:customStyle="1" w:styleId="TematkomentarzaZnak">
    <w:name w:val="Temat komentarza Znak"/>
    <w:basedOn w:val="TekstkomentarzaZnak"/>
    <w:link w:val="Tematkomentarza"/>
    <w:uiPriority w:val="99"/>
    <w:semiHidden/>
    <w:rsid w:val="001646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877</Words>
  <Characters>5265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Wasiak Magdalena (ANW)</dc:creator>
  <cp:keywords/>
  <dc:description/>
  <cp:lastModifiedBy>Czerwińska-Stępień Katarzyna (ANW)</cp:lastModifiedBy>
  <cp:revision>3</cp:revision>
  <dcterms:created xsi:type="dcterms:W3CDTF">2026-02-19T12:56:00Z</dcterms:created>
  <dcterms:modified xsi:type="dcterms:W3CDTF">2026-03-03T09:50:00Z</dcterms:modified>
</cp:coreProperties>
</file>